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FDF" w:rsidRDefault="006E444D">
      <w:pPr>
        <w:pStyle w:val="Pagedecouverture"/>
        <w:rPr>
          <w:noProof/>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6FE465ED589B4038B4766384FDAE2091" style="width:450.6pt;height:325.2pt">
            <v:imagedata r:id="rId9" o:title=""/>
          </v:shape>
        </w:pict>
      </w:r>
      <w:bookmarkEnd w:id="0"/>
    </w:p>
    <w:p w:rsidR="00277FDF" w:rsidRDefault="00277FDF">
      <w:pPr>
        <w:rPr>
          <w:noProof/>
        </w:rPr>
        <w:sectPr w:rsidR="00277FDF">
          <w:footerReference w:type="default" r:id="rId10"/>
          <w:pgSz w:w="11907" w:h="16839"/>
          <w:pgMar w:top="1134" w:right="1417" w:bottom="1134" w:left="1417" w:header="709" w:footer="709" w:gutter="0"/>
          <w:pgNumType w:start="1"/>
          <w:cols w:space="720"/>
          <w:docGrid w:linePitch="360"/>
        </w:sectPr>
      </w:pPr>
    </w:p>
    <w:p w:rsidR="00277FDF" w:rsidRDefault="00511C96">
      <w:pPr>
        <w:pStyle w:val="Typedudocument"/>
        <w:rPr>
          <w:noProof/>
        </w:rPr>
      </w:pPr>
      <w:r>
        <w:rPr>
          <w:noProof/>
        </w:rPr>
        <w:lastRenderedPageBreak/>
        <w:t>COMMISSION IMPLEMENTING DECISION</w:t>
      </w:r>
    </w:p>
    <w:p w:rsidR="00277FDF" w:rsidRDefault="00511C96">
      <w:pPr>
        <w:pStyle w:val="Datedadoption"/>
        <w:rPr>
          <w:noProof/>
        </w:rPr>
      </w:pPr>
      <w:r>
        <w:t>of 22.7.2015</w:t>
      </w:r>
    </w:p>
    <w:p w:rsidR="00277FDF" w:rsidRDefault="00511C96">
      <w:pPr>
        <w:pStyle w:val="Titreobjet"/>
        <w:rPr>
          <w:noProof/>
        </w:rPr>
      </w:pPr>
      <w:r>
        <w:rPr>
          <w:noProof/>
        </w:rPr>
        <w:t xml:space="preserve">adopting a Multi-country Action Programme for the year </w:t>
      </w:r>
      <w:r>
        <w:rPr>
          <w:noProof/>
        </w:rPr>
        <w:t>2015</w:t>
      </w:r>
    </w:p>
    <w:p w:rsidR="00277FDF" w:rsidRDefault="00511C96">
      <w:pPr>
        <w:pStyle w:val="Institutionquiagit"/>
        <w:rPr>
          <w:noProof/>
        </w:rPr>
      </w:pPr>
      <w:r>
        <w:rPr>
          <w:noProof/>
        </w:rPr>
        <w:t>THE EUROPEAN COMMISSION,</w:t>
      </w:r>
    </w:p>
    <w:p w:rsidR="00277FDF" w:rsidRDefault="00511C96">
      <w:pPr>
        <w:rPr>
          <w:noProof/>
        </w:rPr>
      </w:pPr>
      <w:r>
        <w:rPr>
          <w:noProof/>
          <w:color w:val="000000"/>
        </w:rPr>
        <w:t>Having regard to the Treaty on the Functioning of the European Union</w:t>
      </w:r>
      <w:r>
        <w:rPr>
          <w:noProof/>
        </w:rPr>
        <w:t>,</w:t>
      </w:r>
    </w:p>
    <w:p w:rsidR="00277FDF" w:rsidRDefault="00511C96">
      <w:pPr>
        <w:rPr>
          <w:rFonts w:eastAsia="Times New Roman"/>
          <w:noProof/>
          <w:szCs w:val="24"/>
          <w:lang w:eastAsia="en-GB"/>
        </w:rPr>
      </w:pPr>
      <w:r>
        <w:rPr>
          <w:rFonts w:eastAsia="Times New Roman"/>
          <w:noProof/>
          <w:szCs w:val="24"/>
          <w:lang w:eastAsia="en-GB"/>
        </w:rPr>
        <w:t>Having regard to Regulation (EU) No 236/2014 of the European Parliament and of the Council of 11 March 2014 laying down common rules and procedures of the i</w:t>
      </w:r>
      <w:r>
        <w:rPr>
          <w:rFonts w:eastAsia="Times New Roman"/>
          <w:noProof/>
          <w:szCs w:val="24"/>
          <w:lang w:eastAsia="en-GB"/>
        </w:rPr>
        <w:t>mplementation of the Union's instruments for financing external action</w:t>
      </w:r>
      <w:r>
        <w:rPr>
          <w:rStyle w:val="FootnoteReference"/>
          <w:noProof/>
        </w:rPr>
        <w:footnoteReference w:id="1"/>
      </w:r>
      <w:r>
        <w:rPr>
          <w:rFonts w:eastAsia="Times New Roman"/>
          <w:noProof/>
          <w:szCs w:val="24"/>
          <w:lang w:eastAsia="en-GB"/>
        </w:rPr>
        <w:t xml:space="preserve"> and in particular Article 2(1) thereof,</w:t>
      </w:r>
    </w:p>
    <w:p w:rsidR="00277FDF" w:rsidRDefault="00511C96">
      <w:pPr>
        <w:rPr>
          <w:rFonts w:eastAsia="Times New Roman"/>
          <w:noProof/>
          <w:szCs w:val="24"/>
          <w:lang w:eastAsia="en-GB"/>
        </w:rPr>
      </w:pPr>
      <w:r>
        <w:rPr>
          <w:rFonts w:eastAsia="Times New Roman"/>
          <w:noProof/>
          <w:szCs w:val="24"/>
          <w:lang w:eastAsia="en-GB"/>
        </w:rPr>
        <w:t>Having regard to Regulation (EU, Euratom) No 966/2012 of the European Parliament and of the Council of 25 October 2012 on the financial rules ap</w:t>
      </w:r>
      <w:r>
        <w:rPr>
          <w:rFonts w:eastAsia="Times New Roman"/>
          <w:noProof/>
          <w:szCs w:val="24"/>
          <w:lang w:eastAsia="en-GB"/>
        </w:rPr>
        <w:t>plicable to the general budget of the Union and repealing Council Regulation (EC, Euratom) No 1605/2002</w:t>
      </w:r>
      <w:r>
        <w:rPr>
          <w:rStyle w:val="FootnoteReference"/>
          <w:noProof/>
        </w:rPr>
        <w:footnoteReference w:id="2"/>
      </w:r>
      <w:r>
        <w:rPr>
          <w:rFonts w:eastAsia="Times New Roman"/>
          <w:noProof/>
          <w:szCs w:val="24"/>
          <w:lang w:eastAsia="en-GB"/>
        </w:rPr>
        <w:t xml:space="preserve"> and in particular Article 84(2) thereof,</w:t>
      </w:r>
    </w:p>
    <w:p w:rsidR="00277FDF" w:rsidRDefault="00511C96">
      <w:pPr>
        <w:rPr>
          <w:rFonts w:eastAsia="Times New Roman"/>
          <w:noProof/>
          <w:szCs w:val="24"/>
          <w:lang w:eastAsia="en-GB"/>
        </w:rPr>
      </w:pPr>
      <w:r>
        <w:rPr>
          <w:rFonts w:eastAsia="Times New Roman"/>
          <w:noProof/>
          <w:szCs w:val="24"/>
          <w:lang w:eastAsia="en-GB"/>
        </w:rPr>
        <w:t>Whereas:</w:t>
      </w:r>
    </w:p>
    <w:p w:rsidR="00277FDF" w:rsidRDefault="00511C96">
      <w:pPr>
        <w:pStyle w:val="ManualConsidrant"/>
        <w:rPr>
          <w:noProof/>
        </w:rPr>
      </w:pPr>
      <w:r>
        <w:t>(1)</w:t>
      </w:r>
      <w:r>
        <w:tab/>
      </w:r>
      <w:r>
        <w:rPr>
          <w:noProof/>
        </w:rPr>
        <w:t>Regulation (EU) No 231/2014</w:t>
      </w:r>
      <w:r>
        <w:rPr>
          <w:rStyle w:val="FootnoteReference"/>
          <w:noProof/>
        </w:rPr>
        <w:footnoteReference w:id="3"/>
      </w:r>
      <w:r>
        <w:rPr>
          <w:noProof/>
        </w:rPr>
        <w:t xml:space="preserve"> lays down the objectives and main principles for pre</w:t>
      </w:r>
      <w:r>
        <w:rPr>
          <w:noProof/>
        </w:rPr>
        <w:noBreakHyphen/>
        <w:t>accession assis</w:t>
      </w:r>
      <w:r>
        <w:rPr>
          <w:noProof/>
        </w:rPr>
        <w:t>tance to beneficiaries listed in Annex I to that Regulation.</w:t>
      </w:r>
    </w:p>
    <w:p w:rsidR="00277FDF" w:rsidRDefault="00511C96">
      <w:pPr>
        <w:pStyle w:val="ManualConsidrant"/>
        <w:rPr>
          <w:noProof/>
        </w:rPr>
      </w:pPr>
      <w:r>
        <w:t>(2)</w:t>
      </w:r>
      <w:r>
        <w:tab/>
      </w:r>
      <w:r>
        <w:rPr>
          <w:noProof/>
        </w:rPr>
        <w:t>In accordance with Article 7 of Regulation (EU) No 231/2014 the assistance should be implemented through annual or multi-annual, country-specific or multi-country programmes. These programmes</w:t>
      </w:r>
      <w:r>
        <w:rPr>
          <w:noProof/>
        </w:rPr>
        <w:t xml:space="preserve"> should be drawn up in accordance with the framework for assistance referred to in Article 4 of Regulation (EU) No 231/2014 and the relevant country or multi-country indicative strategy papers referred to in Article 6 of that Regulation. </w:t>
      </w:r>
    </w:p>
    <w:p w:rsidR="00277FDF" w:rsidRDefault="00511C96">
      <w:pPr>
        <w:pStyle w:val="ManualConsidrant"/>
        <w:rPr>
          <w:noProof/>
        </w:rPr>
      </w:pPr>
      <w:r>
        <w:t>(3)</w:t>
      </w:r>
      <w:r>
        <w:tab/>
      </w:r>
      <w:r>
        <w:rPr>
          <w:noProof/>
        </w:rPr>
        <w:t>The Council e</w:t>
      </w:r>
      <w:r>
        <w:rPr>
          <w:noProof/>
        </w:rPr>
        <w:t xml:space="preserve">stablished an Accession Partnership or a European Partnership for all beneficiaries listed in Annex I of Regulation (EU) No 231/2014. The Commission adopted a multi-country indicative strategy paper for the period 2014-2020 on </w:t>
      </w:r>
      <w:r>
        <w:rPr>
          <w:noProof/>
        </w:rPr>
        <w:br/>
        <w:t xml:space="preserve">30 June 2014 which provides </w:t>
      </w:r>
      <w:r>
        <w:rPr>
          <w:noProof/>
        </w:rPr>
        <w:t>indicative allocations for the priorities for multi-country pre-accession assistance</w:t>
      </w:r>
      <w:r>
        <w:rPr>
          <w:rStyle w:val="FootnoteReference"/>
          <w:noProof/>
        </w:rPr>
        <w:footnoteReference w:id="4"/>
      </w:r>
      <w:r>
        <w:rPr>
          <w:noProof/>
        </w:rPr>
        <w:t>.</w:t>
      </w:r>
    </w:p>
    <w:p w:rsidR="00277FDF" w:rsidRDefault="00511C96">
      <w:pPr>
        <w:pStyle w:val="ManualConsidrant"/>
        <w:rPr>
          <w:noProof/>
        </w:rPr>
      </w:pPr>
      <w:r>
        <w:t>(4)</w:t>
      </w:r>
      <w:r>
        <w:tab/>
      </w:r>
      <w:r>
        <w:rPr>
          <w:noProof/>
        </w:rPr>
        <w:t>Considering the proposals for action submitted by the beneficiaries concerned, the multi-country action programme for 2015 aims at providing assistance in the region</w:t>
      </w:r>
      <w:r>
        <w:rPr>
          <w:noProof/>
        </w:rPr>
        <w:t>al and territorial cooperation sector for actions in the following priorities:</w:t>
      </w:r>
    </w:p>
    <w:p w:rsidR="00277FDF" w:rsidRDefault="00511C96">
      <w:pPr>
        <w:pStyle w:val="Text1"/>
        <w:rPr>
          <w:noProof/>
          <w:lang w:eastAsia="en-GB"/>
        </w:rPr>
      </w:pPr>
      <w:r>
        <w:rPr>
          <w:noProof/>
          <w:lang w:eastAsia="en-GB"/>
        </w:rPr>
        <w:t>i.</w:t>
      </w:r>
      <w:r>
        <w:rPr>
          <w:noProof/>
          <w:lang w:eastAsia="en-GB"/>
        </w:rPr>
        <w:tab/>
        <w:t>Horizontal support to sector policies and reforms;</w:t>
      </w:r>
    </w:p>
    <w:p w:rsidR="00277FDF" w:rsidRDefault="00511C96">
      <w:pPr>
        <w:pStyle w:val="Text1"/>
        <w:rPr>
          <w:noProof/>
          <w:lang w:eastAsia="en-GB"/>
        </w:rPr>
      </w:pPr>
      <w:r>
        <w:rPr>
          <w:noProof/>
          <w:lang w:eastAsia="en-GB"/>
        </w:rPr>
        <w:t>ii.</w:t>
      </w:r>
      <w:r>
        <w:rPr>
          <w:noProof/>
          <w:lang w:eastAsia="en-GB"/>
        </w:rPr>
        <w:tab/>
        <w:t>Regional structures and networks;</w:t>
      </w:r>
    </w:p>
    <w:p w:rsidR="00277FDF" w:rsidRDefault="00511C96">
      <w:pPr>
        <w:pStyle w:val="Text1"/>
        <w:rPr>
          <w:noProof/>
          <w:lang w:eastAsia="en-GB"/>
        </w:rPr>
      </w:pPr>
      <w:r>
        <w:rPr>
          <w:noProof/>
          <w:lang w:eastAsia="en-GB"/>
        </w:rPr>
        <w:t>iii.</w:t>
      </w:r>
      <w:r>
        <w:rPr>
          <w:noProof/>
          <w:lang w:eastAsia="en-GB"/>
        </w:rPr>
        <w:tab/>
        <w:t>Regional investment support.</w:t>
      </w:r>
    </w:p>
    <w:p w:rsidR="00277FDF" w:rsidRDefault="00511C96">
      <w:pPr>
        <w:pStyle w:val="ManualConsidrant"/>
        <w:rPr>
          <w:noProof/>
        </w:rPr>
      </w:pPr>
      <w:r>
        <w:lastRenderedPageBreak/>
        <w:t>(5)</w:t>
      </w:r>
      <w:r>
        <w:tab/>
      </w:r>
      <w:r>
        <w:rPr>
          <w:noProof/>
        </w:rPr>
        <w:t xml:space="preserve">It is necessary to adopt a financing decision, </w:t>
      </w:r>
      <w:r>
        <w:rPr>
          <w:noProof/>
        </w:rPr>
        <w:t>the detailed rules of which are set out in Article 94 of Commission Delegated Regulation (EU) No 1268/2012</w:t>
      </w:r>
      <w:r>
        <w:rPr>
          <w:rStyle w:val="FootnoteReference"/>
          <w:noProof/>
        </w:rPr>
        <w:footnoteReference w:id="5"/>
      </w:r>
      <w:r>
        <w:rPr>
          <w:noProof/>
        </w:rPr>
        <w:t>.</w:t>
      </w:r>
    </w:p>
    <w:p w:rsidR="00277FDF" w:rsidRDefault="00511C96">
      <w:pPr>
        <w:pStyle w:val="ManualConsidrant"/>
        <w:rPr>
          <w:noProof/>
        </w:rPr>
      </w:pPr>
      <w:r>
        <w:t>(6)</w:t>
      </w:r>
      <w:r>
        <w:tab/>
      </w:r>
      <w:r>
        <w:rPr>
          <w:noProof/>
        </w:rPr>
        <w:t xml:space="preserve">The Commission should be able to entrust budget-implementation tasks under indirect management to the entities specified in this Decision, </w:t>
      </w:r>
      <w:r>
        <w:rPr>
          <w:noProof/>
        </w:rPr>
        <w:t xml:space="preserve">subject to the conclusion of a delegation agreement. In accordance with Article 60(1) and (2) of Regulation (EU, Euratom) No 966/2012, the authorising officer responsible needs to ensure that these entities guarantee a level of protection of the financial </w:t>
      </w:r>
      <w:r>
        <w:rPr>
          <w:noProof/>
        </w:rPr>
        <w:t xml:space="preserve">interests of the Union equivalent to that required under Regulation (EU, Euratom) No 966/2012, when the Commission manages Union funds. The European Investment Bank (EIB), the European Investment Fund (EIF) and the Council of Europe Development Bank (CEB) </w:t>
      </w:r>
      <w:r>
        <w:rPr>
          <w:noProof/>
        </w:rPr>
        <w:t>comply with the conditions of points (a) to (d) of the first sub-paragraph of Article 60(2) of Regulation (EU, Euratom) No 966/2012 and the supervisory and support measures are in place as necessary.</w:t>
      </w:r>
    </w:p>
    <w:p w:rsidR="00277FDF" w:rsidRDefault="00511C96">
      <w:pPr>
        <w:pStyle w:val="ManualConsidrant"/>
        <w:rPr>
          <w:noProof/>
        </w:rPr>
      </w:pPr>
      <w:r>
        <w:t>(7)</w:t>
      </w:r>
      <w:r>
        <w:tab/>
      </w:r>
      <w:r>
        <w:rPr>
          <w:noProof/>
        </w:rPr>
        <w:t>The European Bank for Reconstruction and Development</w:t>
      </w:r>
      <w:r>
        <w:rPr>
          <w:noProof/>
        </w:rPr>
        <w:t xml:space="preserve"> (EBRD), the World Bank Group (WBG) and the Kreditanstalt für Wiederaufbau (KfW) are currently undergoing the assessment under Regulation (EU, Euratom) No 966/2012. In anticipation of the results of this review, the authorising officer responsible deems th</w:t>
      </w:r>
      <w:r>
        <w:rPr>
          <w:noProof/>
        </w:rPr>
        <w:t>at, based on the EBRD's, WBG's and KfW's positive assessment under Regulation (EU, Euratom) No 1605/2002</w:t>
      </w:r>
      <w:r>
        <w:rPr>
          <w:rStyle w:val="FootnoteReference"/>
          <w:noProof/>
        </w:rPr>
        <w:footnoteReference w:id="6"/>
      </w:r>
      <w:r>
        <w:rPr>
          <w:noProof/>
        </w:rPr>
        <w:t xml:space="preserve"> and on the long-standing and problem-free cooperation with them, budget-implementation tasks can be entrusted to these entities.</w:t>
      </w:r>
    </w:p>
    <w:p w:rsidR="00277FDF" w:rsidRDefault="00511C96">
      <w:pPr>
        <w:pStyle w:val="ManualConsidrant"/>
        <w:rPr>
          <w:noProof/>
        </w:rPr>
      </w:pPr>
      <w:r>
        <w:t>(8)</w:t>
      </w:r>
      <w:r>
        <w:tab/>
      </w:r>
      <w:r>
        <w:rPr>
          <w:noProof/>
        </w:rPr>
        <w:t>It is appropriate</w:t>
      </w:r>
      <w:r>
        <w:rPr>
          <w:noProof/>
        </w:rPr>
        <w:t xml:space="preserve"> to authorise the award of grants without a call for proposals to the bodies identified in the Annex and for the reasons provided therein.</w:t>
      </w:r>
    </w:p>
    <w:p w:rsidR="00277FDF" w:rsidRDefault="00511C96">
      <w:pPr>
        <w:pStyle w:val="ManualConsidrant"/>
        <w:rPr>
          <w:noProof/>
        </w:rPr>
      </w:pPr>
      <w:r>
        <w:t>(9)</w:t>
      </w:r>
      <w:r>
        <w:tab/>
      </w:r>
      <w:r>
        <w:rPr>
          <w:noProof/>
        </w:rPr>
        <w:t>The maximum contribution of the European Union set by this Decision should cover any possible claims for interest</w:t>
      </w:r>
      <w:r>
        <w:rPr>
          <w:noProof/>
        </w:rPr>
        <w:t xml:space="preserve"> due for late payment on the basis of Article 92 of Regulation (EU, Euratom) No 966/2012 and Article 111(4) of Commission Delegated Regulation (EU) No 1268/2012.</w:t>
      </w:r>
    </w:p>
    <w:p w:rsidR="00277FDF" w:rsidRDefault="00511C96">
      <w:pPr>
        <w:pStyle w:val="ManualConsidrant"/>
        <w:rPr>
          <w:noProof/>
        </w:rPr>
      </w:pPr>
      <w:r>
        <w:t>(10)</w:t>
      </w:r>
      <w:r>
        <w:tab/>
      </w:r>
      <w:r>
        <w:rPr>
          <w:noProof/>
        </w:rPr>
        <w:t>Pursuant to Article 94(4) of Commission Delegated Regulation (EU) No 1268/2012, the Commi</w:t>
      </w:r>
      <w:r>
        <w:rPr>
          <w:noProof/>
        </w:rPr>
        <w:t xml:space="preserve">ssion should define changes to this Decision which are not substantial in order to ensure that any such changes can be adopted by the authorising officer responsible. </w:t>
      </w:r>
    </w:p>
    <w:p w:rsidR="00277FDF" w:rsidRDefault="00511C96">
      <w:pPr>
        <w:pStyle w:val="ManualConsidrant"/>
        <w:rPr>
          <w:noProof/>
        </w:rPr>
      </w:pPr>
      <w:r>
        <w:t>(11)</w:t>
      </w:r>
      <w:r>
        <w:tab/>
      </w:r>
      <w:r>
        <w:rPr>
          <w:noProof/>
        </w:rPr>
        <w:t>The action programme or measures provided for by this Decision are in accordance wi</w:t>
      </w:r>
      <w:r>
        <w:rPr>
          <w:noProof/>
        </w:rPr>
        <w:t xml:space="preserve">th the opinion of the IPA II Committee set up by Article 13 of Regulation (EU) </w:t>
      </w:r>
      <w:r>
        <w:rPr>
          <w:noProof/>
        </w:rPr>
        <w:br/>
        <w:t>No 231/2014</w:t>
      </w:r>
      <w:r>
        <w:rPr>
          <w:rStyle w:val="FootnoteReference"/>
          <w:noProof/>
        </w:rPr>
        <w:footnoteReference w:id="7"/>
      </w:r>
      <w:r>
        <w:rPr>
          <w:noProof/>
        </w:rPr>
        <w:t>,</w:t>
      </w:r>
    </w:p>
    <w:p w:rsidR="00277FDF" w:rsidRDefault="00511C96">
      <w:pPr>
        <w:pStyle w:val="Formuledadoption"/>
        <w:rPr>
          <w:noProof/>
        </w:rPr>
      </w:pPr>
      <w:r>
        <w:rPr>
          <w:noProof/>
        </w:rPr>
        <w:t xml:space="preserve">HAS DECIDED AS FOLLOWS: </w:t>
      </w:r>
    </w:p>
    <w:p w:rsidR="00277FDF" w:rsidRDefault="00511C96">
      <w:pPr>
        <w:pStyle w:val="Titrearticle"/>
        <w:keepNext w:val="0"/>
        <w:rPr>
          <w:noProof/>
        </w:rPr>
      </w:pPr>
      <w:r>
        <w:rPr>
          <w:noProof/>
        </w:rPr>
        <w:t>Article 1</w:t>
      </w:r>
    </w:p>
    <w:p w:rsidR="00277FDF" w:rsidRDefault="00511C96">
      <w:pPr>
        <w:tabs>
          <w:tab w:val="left" w:pos="2835"/>
        </w:tabs>
        <w:jc w:val="center"/>
        <w:rPr>
          <w:rFonts w:eastAsia="Times New Roman"/>
          <w:noProof/>
          <w:szCs w:val="24"/>
          <w:lang w:eastAsia="en-GB"/>
        </w:rPr>
      </w:pPr>
      <w:r>
        <w:rPr>
          <w:rFonts w:eastAsia="Times New Roman"/>
          <w:noProof/>
          <w:szCs w:val="24"/>
          <w:lang w:eastAsia="en-GB"/>
        </w:rPr>
        <w:t>Adoption of the programme</w:t>
      </w:r>
    </w:p>
    <w:p w:rsidR="00277FDF" w:rsidRDefault="00511C96">
      <w:pPr>
        <w:rPr>
          <w:rFonts w:eastAsia="Times New Roman"/>
          <w:noProof/>
          <w:szCs w:val="24"/>
          <w:lang w:eastAsia="en-GB"/>
        </w:rPr>
      </w:pPr>
      <w:r>
        <w:rPr>
          <w:rFonts w:eastAsia="Times New Roman"/>
          <w:noProof/>
          <w:szCs w:val="24"/>
          <w:lang w:eastAsia="en-GB"/>
        </w:rPr>
        <w:t>The Multi-country Action Programme 2015 under the Instrument for Pre-accession Assistance (IPA II) as</w:t>
      </w:r>
      <w:r>
        <w:rPr>
          <w:rFonts w:eastAsia="Times New Roman"/>
          <w:noProof/>
          <w:szCs w:val="24"/>
          <w:lang w:eastAsia="en-GB"/>
        </w:rPr>
        <w:t xml:space="preserve"> set out in the Annex, is hereby approved.</w:t>
      </w:r>
    </w:p>
    <w:p w:rsidR="00277FDF" w:rsidRDefault="00511C96">
      <w:pPr>
        <w:pStyle w:val="Titrearticle"/>
        <w:keepNext w:val="0"/>
        <w:rPr>
          <w:noProof/>
        </w:rPr>
      </w:pPr>
      <w:r>
        <w:rPr>
          <w:noProof/>
        </w:rPr>
        <w:t>Article 2</w:t>
      </w:r>
    </w:p>
    <w:p w:rsidR="00277FDF" w:rsidRDefault="00511C96">
      <w:pPr>
        <w:jc w:val="center"/>
        <w:rPr>
          <w:rFonts w:eastAsia="Times New Roman"/>
          <w:i/>
          <w:noProof/>
          <w:szCs w:val="24"/>
          <w:lang w:eastAsia="en-GB"/>
        </w:rPr>
      </w:pPr>
      <w:r>
        <w:rPr>
          <w:rFonts w:eastAsia="Times New Roman"/>
          <w:i/>
          <w:noProof/>
          <w:szCs w:val="24"/>
          <w:lang w:eastAsia="en-GB"/>
        </w:rPr>
        <w:t>Financial contribution</w:t>
      </w:r>
    </w:p>
    <w:p w:rsidR="00277FDF" w:rsidRDefault="00511C96">
      <w:pPr>
        <w:autoSpaceDE w:val="0"/>
        <w:autoSpaceDN w:val="0"/>
        <w:adjustRightInd w:val="0"/>
        <w:rPr>
          <w:rFonts w:eastAsia="Times New Roman"/>
          <w:iCs/>
          <w:noProof/>
          <w:szCs w:val="24"/>
          <w:lang w:eastAsia="en-GB"/>
        </w:rPr>
      </w:pPr>
      <w:r>
        <w:rPr>
          <w:rFonts w:eastAsia="Times New Roman"/>
          <w:iCs/>
          <w:noProof/>
          <w:szCs w:val="24"/>
          <w:lang w:eastAsia="en-GB"/>
        </w:rPr>
        <w:t>The maximum amount of the European Union contribution for the implementation of the programme referred to in Article 1 is set at EUR 122 555 000 and shall be financed from the budg</w:t>
      </w:r>
      <w:r>
        <w:rPr>
          <w:rFonts w:eastAsia="Times New Roman"/>
          <w:iCs/>
          <w:noProof/>
          <w:szCs w:val="24"/>
          <w:lang w:eastAsia="en-GB"/>
        </w:rPr>
        <w:t xml:space="preserve">et line </w:t>
      </w:r>
      <w:r>
        <w:rPr>
          <w:rFonts w:eastAsia="Times New Roman"/>
          <w:bCs/>
          <w:iCs/>
          <w:noProof/>
          <w:szCs w:val="24"/>
          <w:lang w:eastAsia="en-GB"/>
        </w:rPr>
        <w:t>22.02.04.01 of the general budget of the EU for year 2015.</w:t>
      </w:r>
    </w:p>
    <w:p w:rsidR="00277FDF" w:rsidRDefault="00511C96">
      <w:pPr>
        <w:rPr>
          <w:rFonts w:eastAsia="Times New Roman"/>
          <w:noProof/>
          <w:szCs w:val="24"/>
          <w:lang w:eastAsia="en-GB"/>
        </w:rPr>
      </w:pPr>
      <w:r>
        <w:rPr>
          <w:rFonts w:eastAsia="Times New Roman"/>
          <w:noProof/>
          <w:szCs w:val="24"/>
          <w:lang w:eastAsia="en-GB"/>
        </w:rPr>
        <w:t xml:space="preserve">The financial contribution referred to in the first sub-paragraph may also cover interest </w:t>
      </w:r>
      <w:r>
        <w:rPr>
          <w:rFonts w:eastAsia="Times New Roman"/>
          <w:noProof/>
          <w:color w:val="000000"/>
          <w:szCs w:val="24"/>
          <w:lang w:eastAsia="en-GB"/>
        </w:rPr>
        <w:t>due for late payment</w:t>
      </w:r>
      <w:r>
        <w:rPr>
          <w:rFonts w:eastAsia="Times New Roman"/>
          <w:noProof/>
          <w:szCs w:val="24"/>
          <w:lang w:eastAsia="en-GB"/>
        </w:rPr>
        <w:t>.</w:t>
      </w:r>
    </w:p>
    <w:p w:rsidR="00277FDF" w:rsidRDefault="00511C96">
      <w:pPr>
        <w:pStyle w:val="Titrearticle"/>
        <w:keepNext w:val="0"/>
        <w:rPr>
          <w:noProof/>
        </w:rPr>
      </w:pPr>
      <w:r>
        <w:rPr>
          <w:noProof/>
        </w:rPr>
        <w:t>Article 3</w:t>
      </w:r>
    </w:p>
    <w:p w:rsidR="00277FDF" w:rsidRDefault="00511C96">
      <w:pPr>
        <w:autoSpaceDE w:val="0"/>
        <w:autoSpaceDN w:val="0"/>
        <w:adjustRightInd w:val="0"/>
        <w:jc w:val="center"/>
        <w:rPr>
          <w:rFonts w:eastAsia="Times New Roman"/>
          <w:i/>
          <w:noProof/>
          <w:szCs w:val="24"/>
          <w:lang w:eastAsia="en-GB"/>
        </w:rPr>
      </w:pPr>
      <w:r>
        <w:rPr>
          <w:rFonts w:eastAsia="Times New Roman"/>
          <w:i/>
          <w:noProof/>
          <w:szCs w:val="24"/>
          <w:lang w:eastAsia="en-GB"/>
        </w:rPr>
        <w:t>Implementation modalities</w:t>
      </w:r>
    </w:p>
    <w:p w:rsidR="00277FDF" w:rsidRDefault="00511C96">
      <w:pPr>
        <w:spacing w:before="0" w:after="0"/>
        <w:rPr>
          <w:rFonts w:eastAsia="Times New Roman"/>
          <w:noProof/>
          <w:szCs w:val="24"/>
          <w:lang w:eastAsia="en-GB"/>
        </w:rPr>
      </w:pPr>
      <w:r>
        <w:rPr>
          <w:rFonts w:eastAsia="Times New Roman"/>
          <w:noProof/>
          <w:szCs w:val="24"/>
          <w:lang w:eastAsia="en-GB"/>
        </w:rPr>
        <w:t>This programme shall be implemented by di</w:t>
      </w:r>
      <w:r>
        <w:rPr>
          <w:rFonts w:eastAsia="Times New Roman"/>
          <w:noProof/>
          <w:szCs w:val="24"/>
          <w:lang w:eastAsia="en-GB"/>
        </w:rPr>
        <w:t>rect and indirect management.</w:t>
      </w:r>
    </w:p>
    <w:p w:rsidR="00277FDF" w:rsidRDefault="00277FDF">
      <w:pPr>
        <w:spacing w:before="0" w:after="0"/>
        <w:rPr>
          <w:rFonts w:eastAsia="Times New Roman"/>
          <w:i/>
          <w:noProof/>
          <w:szCs w:val="24"/>
          <w:lang w:eastAsia="en-GB"/>
        </w:rPr>
      </w:pPr>
    </w:p>
    <w:p w:rsidR="00277FDF" w:rsidRDefault="00511C96">
      <w:pPr>
        <w:spacing w:before="0" w:after="0"/>
        <w:rPr>
          <w:rFonts w:eastAsia="Times New Roman"/>
          <w:noProof/>
          <w:szCs w:val="24"/>
          <w:lang w:eastAsia="en-GB"/>
        </w:rPr>
      </w:pPr>
      <w:r>
        <w:rPr>
          <w:rFonts w:eastAsia="Times New Roman"/>
          <w:noProof/>
          <w:szCs w:val="24"/>
          <w:lang w:eastAsia="en-GB"/>
        </w:rPr>
        <w:t>The budget implementation tasks under indirect management may be entrusted to the entities identified in the Annex subject to the conclusion of the relevant agreements.</w:t>
      </w:r>
    </w:p>
    <w:p w:rsidR="00277FDF" w:rsidRDefault="00511C96">
      <w:pPr>
        <w:pStyle w:val="Titrearticle"/>
        <w:keepNext w:val="0"/>
        <w:rPr>
          <w:noProof/>
        </w:rPr>
      </w:pPr>
      <w:r>
        <w:rPr>
          <w:noProof/>
        </w:rPr>
        <w:t>Article 4</w:t>
      </w:r>
    </w:p>
    <w:p w:rsidR="00277FDF" w:rsidRDefault="00511C96">
      <w:pPr>
        <w:autoSpaceDE w:val="0"/>
        <w:autoSpaceDN w:val="0"/>
        <w:adjustRightInd w:val="0"/>
        <w:jc w:val="center"/>
        <w:rPr>
          <w:rFonts w:eastAsia="Times New Roman"/>
          <w:i/>
          <w:noProof/>
          <w:szCs w:val="24"/>
          <w:lang w:eastAsia="en-GB"/>
        </w:rPr>
      </w:pPr>
      <w:r>
        <w:rPr>
          <w:rFonts w:eastAsia="Times New Roman"/>
          <w:i/>
          <w:noProof/>
          <w:szCs w:val="24"/>
          <w:lang w:eastAsia="en-GB"/>
        </w:rPr>
        <w:t>Grants without a call for proposals</w:t>
      </w:r>
    </w:p>
    <w:p w:rsidR="00277FDF" w:rsidRDefault="00511C96">
      <w:pPr>
        <w:autoSpaceDE w:val="0"/>
        <w:autoSpaceDN w:val="0"/>
        <w:adjustRightInd w:val="0"/>
        <w:rPr>
          <w:rFonts w:eastAsia="Times New Roman"/>
          <w:noProof/>
          <w:szCs w:val="24"/>
          <w:lang w:eastAsia="en-GB"/>
        </w:rPr>
      </w:pPr>
      <w:r>
        <w:rPr>
          <w:rFonts w:eastAsia="Times New Roman"/>
          <w:noProof/>
          <w:szCs w:val="24"/>
          <w:lang w:eastAsia="en-GB"/>
        </w:rPr>
        <w:t>Grants may</w:t>
      </w:r>
      <w:r>
        <w:rPr>
          <w:rFonts w:eastAsia="Times New Roman"/>
          <w:noProof/>
          <w:szCs w:val="24"/>
          <w:lang w:eastAsia="en-GB"/>
        </w:rPr>
        <w:t xml:space="preserve"> be awarded without a call for proposals to the bodies identified in the Annex, in accordance with the conditions specified therein. </w:t>
      </w:r>
    </w:p>
    <w:p w:rsidR="00277FDF" w:rsidRDefault="00511C96">
      <w:pPr>
        <w:pStyle w:val="Titrearticle"/>
        <w:keepNext w:val="0"/>
        <w:rPr>
          <w:noProof/>
        </w:rPr>
      </w:pPr>
      <w:r>
        <w:rPr>
          <w:noProof/>
        </w:rPr>
        <w:t>Article 5</w:t>
      </w:r>
    </w:p>
    <w:p w:rsidR="00277FDF" w:rsidRDefault="00511C96">
      <w:pPr>
        <w:autoSpaceDE w:val="0"/>
        <w:autoSpaceDN w:val="0"/>
        <w:adjustRightInd w:val="0"/>
        <w:jc w:val="center"/>
        <w:rPr>
          <w:rFonts w:eastAsia="Times New Roman"/>
          <w:i/>
          <w:noProof/>
          <w:szCs w:val="24"/>
          <w:lang w:eastAsia="en-GB"/>
        </w:rPr>
      </w:pPr>
      <w:r>
        <w:rPr>
          <w:rFonts w:eastAsia="Times New Roman"/>
          <w:i/>
          <w:noProof/>
          <w:szCs w:val="24"/>
          <w:lang w:eastAsia="en-GB"/>
        </w:rPr>
        <w:t>Non-substantial changes</w:t>
      </w:r>
    </w:p>
    <w:p w:rsidR="00277FDF" w:rsidRDefault="00511C96">
      <w:pPr>
        <w:spacing w:before="0" w:after="0"/>
        <w:rPr>
          <w:rFonts w:eastAsia="Times New Roman"/>
          <w:noProof/>
          <w:szCs w:val="24"/>
          <w:lang w:eastAsia="en-GB"/>
        </w:rPr>
      </w:pPr>
      <w:r>
        <w:rPr>
          <w:rFonts w:eastAsia="Times New Roman"/>
          <w:noProof/>
          <w:szCs w:val="24"/>
          <w:lang w:eastAsia="en-GB"/>
        </w:rPr>
        <w:t xml:space="preserve">The following changes shall not be considered substantial provided that they do not </w:t>
      </w:r>
      <w:r>
        <w:rPr>
          <w:rFonts w:eastAsia="Times New Roman"/>
          <w:noProof/>
          <w:szCs w:val="24"/>
          <w:lang w:eastAsia="en-GB"/>
        </w:rPr>
        <w:t>significantly affect the nature and objectives of the actions:</w:t>
      </w:r>
    </w:p>
    <w:p w:rsidR="00277FDF" w:rsidRDefault="00511C96">
      <w:pPr>
        <w:pStyle w:val="Point0letter"/>
        <w:numPr>
          <w:ilvl w:val="1"/>
          <w:numId w:val="24"/>
        </w:numPr>
        <w:rPr>
          <w:noProof/>
          <w:lang w:eastAsia="en-GB"/>
        </w:rPr>
      </w:pPr>
      <w:r>
        <w:rPr>
          <w:noProof/>
          <w:lang w:eastAsia="en-GB"/>
        </w:rPr>
        <w:t>increases or decreases for not more than 20% of the maximum contribution set in the first paragraph of Article 2,  and not exceeding EUR 10 million;</w:t>
      </w:r>
    </w:p>
    <w:p w:rsidR="00277FDF" w:rsidRDefault="00511C96">
      <w:pPr>
        <w:pStyle w:val="Point0letter"/>
        <w:rPr>
          <w:noProof/>
          <w:lang w:eastAsia="en-GB"/>
        </w:rPr>
      </w:pPr>
      <w:r>
        <w:rPr>
          <w:noProof/>
          <w:lang w:eastAsia="en-GB"/>
        </w:rPr>
        <w:t>cumulated reassignments of funds between spe</w:t>
      </w:r>
      <w:r>
        <w:rPr>
          <w:noProof/>
          <w:lang w:eastAsia="en-GB"/>
        </w:rPr>
        <w:t xml:space="preserve">cific actions not exceeding 20% of the maximum contribution set in the first paragraph of Article 2; </w:t>
      </w:r>
    </w:p>
    <w:p w:rsidR="00277FDF" w:rsidRDefault="00511C96">
      <w:pPr>
        <w:pStyle w:val="Point0letter"/>
        <w:rPr>
          <w:noProof/>
          <w:lang w:eastAsia="en-GB"/>
        </w:rPr>
      </w:pPr>
      <w:r>
        <w:rPr>
          <w:noProof/>
          <w:lang w:eastAsia="en-GB"/>
        </w:rPr>
        <w:t xml:space="preserve">extensions of the implementation and closure period; </w:t>
      </w:r>
    </w:p>
    <w:p w:rsidR="00277FDF" w:rsidRDefault="00511C96">
      <w:pPr>
        <w:pStyle w:val="Point0letter"/>
        <w:rPr>
          <w:noProof/>
          <w:lang w:eastAsia="en-GB"/>
        </w:rPr>
      </w:pPr>
      <w:r>
        <w:rPr>
          <w:noProof/>
          <w:lang w:eastAsia="en-GB"/>
        </w:rPr>
        <w:t>within the limits of 20% referred to in points (a) and (b) above, up to 5% of the contribution refer</w:t>
      </w:r>
      <w:r>
        <w:rPr>
          <w:noProof/>
          <w:lang w:eastAsia="en-GB"/>
        </w:rPr>
        <w:t xml:space="preserve">red to in the first paragraph of Article 2 of this financing decision may serve to finance actions which were not foreseeable at the time the present financing decision was adopted, provided that those actions are necessary to implement the objectives and </w:t>
      </w:r>
      <w:r>
        <w:rPr>
          <w:noProof/>
          <w:lang w:eastAsia="en-GB"/>
        </w:rPr>
        <w:t>the results set out in the programme.</w:t>
      </w:r>
    </w:p>
    <w:p w:rsidR="00277FDF" w:rsidRDefault="00511C96">
      <w:pPr>
        <w:rPr>
          <w:noProof/>
          <w:lang w:eastAsia="en-GB"/>
        </w:rPr>
      </w:pPr>
      <w:r>
        <w:rPr>
          <w:noProof/>
          <w:lang w:eastAsia="en-GB"/>
        </w:rPr>
        <w:br w:type="page"/>
      </w:r>
    </w:p>
    <w:p w:rsidR="00277FDF" w:rsidRDefault="00511C96">
      <w:pPr>
        <w:rPr>
          <w:rFonts w:eastAsia="Times New Roman"/>
          <w:noProof/>
          <w:szCs w:val="24"/>
          <w:lang w:eastAsia="en-GB"/>
        </w:rPr>
      </w:pPr>
      <w:r>
        <w:rPr>
          <w:rFonts w:eastAsia="Times New Roman"/>
          <w:noProof/>
          <w:szCs w:val="24"/>
          <w:lang w:eastAsia="en-GB"/>
        </w:rPr>
        <w:t>The authorising officer responsible may adopt such non-substantial changes in accordance with the principles of sound financial management and proportionality.</w:t>
      </w:r>
    </w:p>
    <w:p w:rsidR="00277FDF" w:rsidRDefault="00511C96">
      <w:pPr>
        <w:pStyle w:val="Fait"/>
        <w:rPr>
          <w:noProof/>
        </w:rPr>
      </w:pPr>
      <w:r>
        <w:rPr>
          <w:noProof/>
        </w:rPr>
        <w:t>Done at Brussels, 22.7.2015</w:t>
      </w:r>
    </w:p>
    <w:p w:rsidR="00277FDF" w:rsidRDefault="00511C96">
      <w:pPr>
        <w:pStyle w:val="Institutionquisigne"/>
        <w:rPr>
          <w:noProof/>
        </w:rPr>
      </w:pPr>
      <w:r>
        <w:rPr>
          <w:noProof/>
        </w:rPr>
        <w:tab/>
        <w:t>For the Commission</w:t>
      </w:r>
    </w:p>
    <w:p w:rsidR="00277FDF" w:rsidRDefault="00511C96">
      <w:pPr>
        <w:pStyle w:val="Personnequisigne"/>
        <w:keepNext/>
        <w:rPr>
          <w:noProof/>
        </w:rPr>
      </w:pPr>
      <w:r>
        <w:tab/>
        <w:t>Johanne</w:t>
      </w:r>
      <w:r>
        <w:t>s HAHN</w:t>
      </w:r>
      <w:r>
        <w:br/>
      </w:r>
      <w:r>
        <w:tab/>
        <w:t>Member of the Commission</w:t>
      </w:r>
    </w:p>
    <w:p w:rsidR="00277FDF" w:rsidRDefault="00277FDF">
      <w:pPr>
        <w:pStyle w:val="Personnequisigne"/>
        <w:rPr>
          <w:noProof/>
        </w:rPr>
      </w:pPr>
    </w:p>
    <w:sectPr w:rsidR="00277FDF">
      <w:footerReference w:type="default" r:id="rId11"/>
      <w:footerReference w:type="first" r:id="rId1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FDF" w:rsidRDefault="00511C96">
      <w:pPr>
        <w:spacing w:before="0" w:after="0"/>
      </w:pPr>
      <w:r>
        <w:separator/>
      </w:r>
    </w:p>
  </w:endnote>
  <w:endnote w:type="continuationSeparator" w:id="0">
    <w:p w:rsidR="00277FDF" w:rsidRDefault="00511C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F" w:rsidRDefault="00511C96">
    <w:pPr>
      <w:pStyle w:val="Footer"/>
      <w:rPr>
        <w:rFonts w:ascii="Arial" w:hAnsi="Arial" w:cs="Arial"/>
        <w:b/>
        <w:sz w:val="48"/>
      </w:rPr>
    </w:pPr>
    <w:r>
      <w:rPr>
        <w:rFonts w:ascii="Arial" w:hAnsi="Arial" w:cs="Arial"/>
        <w:b/>
        <w:sz w:val="48"/>
      </w:rPr>
      <w:t>EN</w:t>
    </w:r>
    <w:r>
      <w:rPr>
        <w:rFonts w:ascii="Arial" w:hAnsi="Arial" w:cs="Arial"/>
        <w:b/>
        <w:sz w:val="48"/>
      </w:rPr>
      <w:tab/>
    </w:r>
    <w:r>
      <w:rPr>
        <w:rFonts w:ascii="Arial" w:hAnsi="Arial" w:cs="Arial"/>
        <w:b/>
        <w:sz w:val="48"/>
      </w:rPr>
      <w:tab/>
    </w:r>
    <w:r>
      <w:fldChar w:fldCharType="begin"/>
    </w:r>
    <w:r>
      <w:instrText xml:space="preserve"> DOCVARIABLE "LW_Confidence" \* MERGEFORMAT </w:instrText>
    </w:r>
    <w:r>
      <w:fldChar w:fldCharType="separate"/>
    </w:r>
    <w:r>
      <w:t xml:space="preserve"> </w:t>
    </w:r>
    <w:r>
      <w:fldChar w:fldCharType="end"/>
    </w:r>
    <w:r>
      <w:tab/>
    </w:r>
    <w:proofErr w:type="spellStart"/>
    <w:r>
      <w:rPr>
        <w:rFonts w:ascii="Arial" w:hAnsi="Arial" w:cs="Arial"/>
        <w:b/>
        <w:sz w:val="48"/>
      </w:rPr>
      <w:t>EN</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F" w:rsidRDefault="00511C96">
    <w:pPr>
      <w:pStyle w:val="Footer"/>
      <w:rPr>
        <w:rFonts w:ascii="Arial" w:hAnsi="Arial" w:cs="Arial"/>
        <w:b/>
        <w:sz w:val="48"/>
      </w:rPr>
    </w:pPr>
    <w:r>
      <w:rPr>
        <w:rFonts w:ascii="Arial" w:hAnsi="Arial" w:cs="Arial"/>
        <w:b/>
        <w:sz w:val="48"/>
      </w:rPr>
      <w:t>EN</w:t>
    </w:r>
    <w:r>
      <w:rPr>
        <w:rFonts w:ascii="Arial" w:hAnsi="Arial" w:cs="Arial"/>
        <w:b/>
        <w:sz w:val="48"/>
      </w:rPr>
      <w:tab/>
    </w:r>
    <w:r>
      <w:fldChar w:fldCharType="begin"/>
    </w:r>
    <w:r>
      <w:instrText xml:space="preserve"> PAGE  \* MERGEFORMAT </w:instrText>
    </w:r>
    <w:r>
      <w:fldChar w:fldCharType="separate"/>
    </w:r>
    <w:r w:rsidR="006E444D">
      <w:rPr>
        <w:noProof/>
      </w:rPr>
      <w:t>5</w:t>
    </w:r>
    <w:r>
      <w:fldChar w:fldCharType="end"/>
    </w:r>
    <w:r>
      <w:tab/>
    </w:r>
    <w:r>
      <w:fldChar w:fldCharType="begin"/>
    </w:r>
    <w:r>
      <w:instrText xml:space="preserve"> DOCVARIABLE "LW_Confidence" \* MERGEFORMAT </w:instrText>
    </w:r>
    <w:r>
      <w:fldChar w:fldCharType="separate"/>
    </w:r>
    <w:r>
      <w:t xml:space="preserve"> </w:t>
    </w:r>
    <w:r>
      <w:fldChar w:fldCharType="end"/>
    </w:r>
    <w:r>
      <w:tab/>
    </w:r>
    <w:r>
      <w:rPr>
        <w:rFonts w:ascii="Arial" w:hAnsi="Arial" w:cs="Arial"/>
        <w:b/>
        <w:sz w:val="48"/>
      </w:rPr>
      <w:t>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F" w:rsidRDefault="00277F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FDF" w:rsidRDefault="00511C96">
      <w:pPr>
        <w:spacing w:before="0" w:after="0"/>
      </w:pPr>
      <w:r>
        <w:separator/>
      </w:r>
    </w:p>
  </w:footnote>
  <w:footnote w:type="continuationSeparator" w:id="0">
    <w:p w:rsidR="00277FDF" w:rsidRDefault="00511C96">
      <w:pPr>
        <w:spacing w:before="0" w:after="0"/>
      </w:pPr>
      <w:r>
        <w:continuationSeparator/>
      </w:r>
    </w:p>
  </w:footnote>
  <w:footnote w:id="1">
    <w:p w:rsidR="00277FDF" w:rsidRDefault="00511C96">
      <w:pPr>
        <w:pStyle w:val="FootnoteText"/>
      </w:pPr>
      <w:r>
        <w:rPr>
          <w:rStyle w:val="FootnoteReference"/>
        </w:rPr>
        <w:footnoteRef/>
      </w:r>
      <w:r>
        <w:tab/>
        <w:t>OJ L 77, 15.3.2014, p. 95.</w:t>
      </w:r>
    </w:p>
  </w:footnote>
  <w:footnote w:id="2">
    <w:p w:rsidR="00277FDF" w:rsidRDefault="00511C96">
      <w:pPr>
        <w:pStyle w:val="FootnoteText"/>
      </w:pPr>
      <w:r>
        <w:rPr>
          <w:rStyle w:val="FootnoteReference"/>
        </w:rPr>
        <w:footnoteRef/>
      </w:r>
      <w:r>
        <w:tab/>
        <w:t>OJ L 298, 26.10.2012, p.1.</w:t>
      </w:r>
    </w:p>
  </w:footnote>
  <w:footnote w:id="3">
    <w:p w:rsidR="00277FDF" w:rsidRDefault="00511C96">
      <w:pPr>
        <w:pStyle w:val="FootnoteText"/>
      </w:pPr>
      <w:r>
        <w:rPr>
          <w:rStyle w:val="FootnoteReference"/>
        </w:rPr>
        <w:footnoteRef/>
      </w:r>
      <w:r>
        <w:tab/>
        <w:t>Regulation (EU) No 231/2014 of the European Parliament and of the Council o</w:t>
      </w:r>
      <w:r>
        <w:t xml:space="preserve">f </w:t>
      </w:r>
      <w:r>
        <w:br/>
        <w:t>11 March 2014 establishing an Instrument for Pre-accession Assistance (OJ L 77, 15.03.2014, p. 11).</w:t>
      </w:r>
    </w:p>
  </w:footnote>
  <w:footnote w:id="4">
    <w:p w:rsidR="00277FDF" w:rsidRDefault="00511C96">
      <w:pPr>
        <w:pStyle w:val="FootnoteText"/>
      </w:pPr>
      <w:r>
        <w:rPr>
          <w:rStyle w:val="FootnoteReference"/>
        </w:rPr>
        <w:footnoteRef/>
      </w:r>
      <w:r>
        <w:tab/>
      </w:r>
      <w:proofErr w:type="gramStart"/>
      <w:r>
        <w:t>C(</w:t>
      </w:r>
      <w:proofErr w:type="gramEnd"/>
      <w:r>
        <w:t>2014) 4293, 30.6.2014.</w:t>
      </w:r>
    </w:p>
  </w:footnote>
  <w:footnote w:id="5">
    <w:p w:rsidR="00277FDF" w:rsidRDefault="00511C96">
      <w:pPr>
        <w:pStyle w:val="FootnoteText"/>
      </w:pPr>
      <w:r>
        <w:rPr>
          <w:rStyle w:val="FootnoteReference"/>
        </w:rPr>
        <w:footnoteRef/>
      </w:r>
      <w:r>
        <w:tab/>
      </w:r>
      <w:proofErr w:type="gramStart"/>
      <w:r>
        <w:t>Commission Delegated Regulation (EU) No 1268/2012 of 29 October 2012 on the rules of application of Regulation No 966/2012 o</w:t>
      </w:r>
      <w:r>
        <w:t>f the European Parliament and of the Council on the financial rules applicable to the general budget of the Union (OJ L 362, 31.12.2012, p. 1).</w:t>
      </w:r>
      <w:proofErr w:type="gramEnd"/>
    </w:p>
  </w:footnote>
  <w:footnote w:id="6">
    <w:p w:rsidR="00277FDF" w:rsidRDefault="00511C96">
      <w:pPr>
        <w:pStyle w:val="FootnoteText"/>
      </w:pPr>
      <w:r>
        <w:rPr>
          <w:rStyle w:val="FootnoteReference"/>
        </w:rPr>
        <w:footnoteRef/>
      </w:r>
      <w:r>
        <w:tab/>
        <w:t xml:space="preserve">Council Regulation (EC, Euratom) No 1605/2002 of 25 June 2002 on the Financial Regulation applicable to the </w:t>
      </w:r>
      <w:r>
        <w:t>general budget of the European Communities (OJ L 248, 16.9.2002, p. 1).</w:t>
      </w:r>
    </w:p>
  </w:footnote>
  <w:footnote w:id="7">
    <w:p w:rsidR="00277FDF" w:rsidRDefault="00511C96">
      <w:pPr>
        <w:pStyle w:val="FootnoteText"/>
      </w:pPr>
      <w:r>
        <w:rPr>
          <w:rStyle w:val="FootnoteReference"/>
        </w:rPr>
        <w:footnoteRef/>
      </w:r>
      <w:r>
        <w:tab/>
        <w:t>The Member States have declared, recalling the Council Conclusions of 18 February 2008, that the adoption of this programme does not prejudge the position of each individual Member S</w:t>
      </w:r>
      <w:r>
        <w:t>tate on the status of Kosovo*, which will be decided in accordance with their national practice and international law.</w:t>
      </w:r>
    </w:p>
    <w:p w:rsidR="00277FDF" w:rsidRDefault="00511C96">
      <w:pPr>
        <w:pStyle w:val="FootnoteText"/>
      </w:pPr>
      <w:r>
        <w:t>*</w:t>
      </w:r>
      <w:r>
        <w:tab/>
        <w:t>This designation is without prejudice to positions on status, and is in line with UNSCR 1244/1999 and the ICJ Opinion on the Kosovo dec</w:t>
      </w:r>
      <w:r>
        <w:t>laration of Independence.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06649BC"/>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9912AE1C"/>
    <w:lvl w:ilvl="0">
      <w:start w:val="1"/>
      <w:numFmt w:val="decimal"/>
      <w:pStyle w:val="ListNumber3"/>
      <w:lvlText w:val="%1."/>
      <w:lvlJc w:val="left"/>
      <w:pPr>
        <w:tabs>
          <w:tab w:val="num" w:pos="926"/>
        </w:tabs>
        <w:ind w:left="926" w:hanging="360"/>
      </w:pPr>
    </w:lvl>
  </w:abstractNum>
  <w:abstractNum w:abstractNumId="2">
    <w:nsid w:val="FFFFFF7F"/>
    <w:multiLevelType w:val="singleLevel"/>
    <w:tmpl w:val="DBD409D0"/>
    <w:lvl w:ilvl="0">
      <w:start w:val="1"/>
      <w:numFmt w:val="decimal"/>
      <w:pStyle w:val="ListNumber2"/>
      <w:lvlText w:val="%1."/>
      <w:lvlJc w:val="left"/>
      <w:pPr>
        <w:tabs>
          <w:tab w:val="num" w:pos="643"/>
        </w:tabs>
        <w:ind w:left="643" w:hanging="360"/>
      </w:pPr>
    </w:lvl>
  </w:abstractNum>
  <w:abstractNum w:abstractNumId="3">
    <w:nsid w:val="FFFFFF81"/>
    <w:multiLevelType w:val="singleLevel"/>
    <w:tmpl w:val="25A0D960"/>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726C34CE"/>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0518B006"/>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1B38B964"/>
    <w:lvl w:ilvl="0">
      <w:start w:val="1"/>
      <w:numFmt w:val="decimal"/>
      <w:pStyle w:val="ListNumber"/>
      <w:lvlText w:val="%1."/>
      <w:lvlJc w:val="left"/>
      <w:pPr>
        <w:tabs>
          <w:tab w:val="num" w:pos="360"/>
        </w:tabs>
        <w:ind w:left="360" w:hanging="360"/>
      </w:pPr>
    </w:lvl>
  </w:abstractNum>
  <w:abstractNum w:abstractNumId="7">
    <w:nsid w:val="FFFFFF89"/>
    <w:multiLevelType w:val="singleLevel"/>
    <w:tmpl w:val="A32E915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1"/>
    <w:lvlOverride w:ilvl="0">
      <w:startOverride w:val="1"/>
    </w:lvlOverride>
  </w:num>
  <w:num w:numId="2">
    <w:abstractNumId w:val="7"/>
  </w:num>
  <w:num w:numId="3">
    <w:abstractNumId w:val="5"/>
  </w:num>
  <w:num w:numId="4">
    <w:abstractNumId w:val="4"/>
  </w:num>
  <w:num w:numId="5">
    <w:abstractNumId w:val="3"/>
  </w:num>
  <w:num w:numId="6">
    <w:abstractNumId w:val="6"/>
  </w:num>
  <w:num w:numId="7">
    <w:abstractNumId w:val="2"/>
  </w:num>
  <w:num w:numId="8">
    <w:abstractNumId w:val="1"/>
  </w:num>
  <w:num w:numId="9">
    <w:abstractNumId w:val="0"/>
  </w:num>
  <w:num w:numId="10">
    <w:abstractNumId w:val="18"/>
  </w:num>
  <w:num w:numId="11">
    <w:abstractNumId w:val="12"/>
  </w:num>
  <w:num w:numId="12">
    <w:abstractNumId w:val="20"/>
  </w:num>
  <w:num w:numId="13">
    <w:abstractNumId w:val="11"/>
  </w:num>
  <w:num w:numId="14">
    <w:abstractNumId w:val="13"/>
  </w:num>
  <w:num w:numId="15">
    <w:abstractNumId w:val="9"/>
  </w:num>
  <w:num w:numId="16">
    <w:abstractNumId w:val="19"/>
  </w:num>
  <w:num w:numId="17">
    <w:abstractNumId w:val="8"/>
  </w:num>
  <w:num w:numId="18">
    <w:abstractNumId w:val="14"/>
  </w:num>
  <w:num w:numId="19">
    <w:abstractNumId w:val="16"/>
  </w:num>
  <w:num w:numId="20">
    <w:abstractNumId w:val="17"/>
  </w:num>
  <w:num w:numId="21">
    <w:abstractNumId w:val="10"/>
  </w:num>
  <w:num w:numId="22">
    <w:abstractNumId w:val="15"/>
  </w:num>
  <w:num w:numId="23">
    <w:abstractNumId w:val="2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attachedTemplate r:id="rId1"/>
  <w:revisionView w:markup="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VERPAGE_EXISTS" w:val="True"/>
    <w:docVar w:name="DQCDateTime" w:val="2015-07-23 10:11:46"/>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2"/>
    <w:docVar w:name="DQCResult_UnknownFonts" w:val="0;0"/>
    <w:docVar w:name="DQCResult_UnknownStyles" w:val="0;0"/>
    <w:docVar w:name="DQCStatus" w:val="Yellow"/>
    <w:docVar w:name="DQCVersion" w:val="3"/>
    <w:docVar w:name="DQCWithWarnings" w:val="0"/>
    <w:docVar w:name="LW_CONFIDENCE" w:val=" "/>
    <w:docVar w:name="LW_CONST_RESTREINT_UE" w:val="RESTREINT UE"/>
    <w:docVar w:name="LW_COVERPAGE_GUID" w:val="6FE465ED589B4038B4766384FDAE2091"/>
    <w:docVar w:name="LW_CROSSREFERENCE" w:val="&lt;UNUSED&gt;"/>
    <w:docVar w:name="LW_DATE.ADOPT.CP" w:val="of 22.7.2015"/>
    <w:docVar w:name="LW_DATE.ADOPT.CP_DATEFORMAT" w:val="of %DATE%"/>
    <w:docVar w:name="LW_DATE.ADOPT.CP_ISODATE" w:val="2015-07-22"/>
    <w:docVar w:name="LW_DocType" w:val="COM"/>
    <w:docVar w:name="LW_EMISSION" w:val="22.7.2015"/>
    <w:docVar w:name="LW_EMISSION_ISODATE" w:val="2015-07-22"/>
    <w:docVar w:name="LW_EMISSION_LOCATION" w:val="BRX"/>
    <w:docVar w:name="LW_EMISSION_PREFIX" w:val="Brussels, "/>
    <w:docVar w:name="LW_EMISSION_SUFFIX" w:val=" "/>
    <w:docVar w:name="LW_ID_DOCMODEL" w:val="SJ-031"/>
    <w:docVar w:name="LW_ID_DOCSIGNATURE" w:val="SJ-031"/>
    <w:docVar w:name="LW_ID_DOCSTRUCTURE" w:val="COM/AA"/>
    <w:docVar w:name="LW_ID_DOCTYPE" w:val="SJ-031"/>
    <w:docVar w:name="LW_INTERETEEE.CP" w:val="&lt;UNUSED&gt;"/>
    <w:docVar w:name="LW_LANGUE" w:val="EN"/>
    <w:docVar w:name="LW_LANGUESFAISANTFOI.CP" w:val="&lt;UNUSED&gt;"/>
    <w:docVar w:name="LW_MARKING" w:val="&lt;UNUSED&gt;"/>
    <w:docVar w:name="LW_NOM.INST" w:val="EUROPEAN COMMISSION"/>
    <w:docVar w:name="LW_NOM.INST_JOINTDOC" w:val="&lt;EMPTY&gt;"/>
    <w:docVar w:name="LW_PART_NBR" w:val="1"/>
    <w:docVar w:name="LW_PART_NBR_TOTAL" w:val="1"/>
    <w:docVar w:name="LW_REF.INST.NEW" w:val="C"/>
    <w:docVar w:name="LW_REF.INST.NEW_ADOPTED" w:val="final"/>
    <w:docVar w:name="LW_REF.INST.NEW_TEXT" w:val="(2015) 5242"/>
    <w:docVar w:name="LW_REF.INTERNE" w:val="&lt;UNUSED&gt;"/>
    <w:docVar w:name="LW_SOUS.TITRE.OBJ.CP" w:val="&lt;UNUSED&gt;"/>
    <w:docVar w:name="LW_SUPERTITRE" w:val="&lt;UNUSED&gt;"/>
    <w:docVar w:name="LW_TITRE.OBJ.CP" w:val="adopting a Multi-country Action Programme for the year 2015"/>
    <w:docVar w:name="LW_TYPE.DOC.CP" w:val="COMMISSION IMPLEMENTING DECISION"/>
  </w:docVars>
  <w:rsids>
    <w:rsidRoot w:val="00277FDF"/>
    <w:rsid w:val="00277FDF"/>
    <w:rsid w:val="00511C96"/>
    <w:rsid w:val="006E4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16"/>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16"/>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16"/>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16"/>
      </w:numPr>
      <w:outlineLvl w:val="3"/>
    </w:pPr>
    <w:rPr>
      <w:rFonts w:eastAsiaTheme="majorEastAsia"/>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ListNumber">
    <w:name w:val="List Number"/>
    <w:basedOn w:val="Normal"/>
    <w:uiPriority w:val="99"/>
    <w:semiHidden/>
    <w:unhideWhenUsed/>
    <w:pPr>
      <w:numPr>
        <w:numId w:val="6"/>
      </w:numPr>
      <w:contextualSpacing/>
    </w:pPr>
  </w:style>
  <w:style w:type="paragraph" w:styleId="ListNumber2">
    <w:name w:val="List Number 2"/>
    <w:basedOn w:val="Normal"/>
    <w:uiPriority w:val="99"/>
    <w:semiHidden/>
    <w:unhideWhenUsed/>
    <w:pPr>
      <w:numPr>
        <w:numId w:val="7"/>
      </w:numPr>
      <w:contextualSpacing/>
    </w:pPr>
  </w:style>
  <w:style w:type="paragraph" w:styleId="ListNumber3">
    <w:name w:val="List Number 3"/>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10"/>
      </w:numPr>
    </w:pPr>
  </w:style>
  <w:style w:type="paragraph" w:customStyle="1" w:styleId="Tiret1">
    <w:name w:val="Tiret 1"/>
    <w:basedOn w:val="Point1"/>
    <w:pPr>
      <w:numPr>
        <w:numId w:val="11"/>
      </w:numPr>
    </w:pPr>
  </w:style>
  <w:style w:type="paragraph" w:customStyle="1" w:styleId="Tiret2">
    <w:name w:val="Tiret 2"/>
    <w:basedOn w:val="Point2"/>
    <w:pPr>
      <w:numPr>
        <w:numId w:val="12"/>
      </w:numPr>
    </w:pPr>
  </w:style>
  <w:style w:type="paragraph" w:customStyle="1" w:styleId="Tiret3">
    <w:name w:val="Tiret 3"/>
    <w:basedOn w:val="Point3"/>
    <w:pPr>
      <w:numPr>
        <w:numId w:val="13"/>
      </w:numPr>
    </w:pPr>
  </w:style>
  <w:style w:type="paragraph" w:customStyle="1" w:styleId="Tiret4">
    <w:name w:val="Tiret 4"/>
    <w:basedOn w:val="Point4"/>
    <w:pPr>
      <w:numPr>
        <w:numId w:val="14"/>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5"/>
      </w:numPr>
    </w:pPr>
  </w:style>
  <w:style w:type="paragraph" w:customStyle="1" w:styleId="NumPar2">
    <w:name w:val="NumPar 2"/>
    <w:basedOn w:val="Normal"/>
    <w:next w:val="Text1"/>
    <w:pPr>
      <w:numPr>
        <w:ilvl w:val="1"/>
        <w:numId w:val="15"/>
      </w:numPr>
    </w:pPr>
  </w:style>
  <w:style w:type="paragraph" w:customStyle="1" w:styleId="NumPar3">
    <w:name w:val="NumPar 3"/>
    <w:basedOn w:val="Normal"/>
    <w:next w:val="Text1"/>
    <w:pPr>
      <w:numPr>
        <w:ilvl w:val="2"/>
        <w:numId w:val="15"/>
      </w:numPr>
    </w:pPr>
  </w:style>
  <w:style w:type="paragraph" w:customStyle="1" w:styleId="NumPar4">
    <w:name w:val="NumPar 4"/>
    <w:basedOn w:val="Normal"/>
    <w:next w:val="Text1"/>
    <w:pPr>
      <w:numPr>
        <w:ilvl w:val="3"/>
        <w:numId w:val="15"/>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17"/>
      </w:numPr>
    </w:pPr>
  </w:style>
  <w:style w:type="paragraph" w:customStyle="1" w:styleId="Point1number">
    <w:name w:val="Point 1 (number)"/>
    <w:basedOn w:val="Normal"/>
    <w:pPr>
      <w:numPr>
        <w:ilvl w:val="2"/>
        <w:numId w:val="17"/>
      </w:numPr>
    </w:pPr>
  </w:style>
  <w:style w:type="paragraph" w:customStyle="1" w:styleId="Point2number">
    <w:name w:val="Point 2 (number)"/>
    <w:basedOn w:val="Normal"/>
    <w:pPr>
      <w:numPr>
        <w:ilvl w:val="4"/>
        <w:numId w:val="17"/>
      </w:numPr>
    </w:pPr>
  </w:style>
  <w:style w:type="paragraph" w:customStyle="1" w:styleId="Point3number">
    <w:name w:val="Point 3 (number)"/>
    <w:basedOn w:val="Normal"/>
    <w:pPr>
      <w:numPr>
        <w:ilvl w:val="6"/>
        <w:numId w:val="17"/>
      </w:numPr>
    </w:pPr>
  </w:style>
  <w:style w:type="paragraph" w:customStyle="1" w:styleId="Point0letter">
    <w:name w:val="Point 0 (letter)"/>
    <w:basedOn w:val="Normal"/>
    <w:pPr>
      <w:numPr>
        <w:ilvl w:val="1"/>
        <w:numId w:val="17"/>
      </w:numPr>
    </w:pPr>
  </w:style>
  <w:style w:type="paragraph" w:customStyle="1" w:styleId="Point1letter">
    <w:name w:val="Point 1 (letter)"/>
    <w:basedOn w:val="Normal"/>
    <w:pPr>
      <w:numPr>
        <w:ilvl w:val="3"/>
        <w:numId w:val="17"/>
      </w:numPr>
    </w:pPr>
  </w:style>
  <w:style w:type="paragraph" w:customStyle="1" w:styleId="Point2letter">
    <w:name w:val="Point 2 (letter)"/>
    <w:basedOn w:val="Normal"/>
    <w:pPr>
      <w:numPr>
        <w:ilvl w:val="5"/>
        <w:numId w:val="17"/>
      </w:numPr>
    </w:pPr>
  </w:style>
  <w:style w:type="paragraph" w:customStyle="1" w:styleId="Point3letter">
    <w:name w:val="Point 3 (letter)"/>
    <w:basedOn w:val="Normal"/>
    <w:pPr>
      <w:numPr>
        <w:ilvl w:val="7"/>
        <w:numId w:val="17"/>
      </w:numPr>
    </w:pPr>
  </w:style>
  <w:style w:type="paragraph" w:customStyle="1" w:styleId="Point4letter">
    <w:name w:val="Point 4 (letter)"/>
    <w:basedOn w:val="Normal"/>
    <w:pPr>
      <w:numPr>
        <w:ilvl w:val="8"/>
        <w:numId w:val="17"/>
      </w:numPr>
    </w:pPr>
  </w:style>
  <w:style w:type="paragraph" w:customStyle="1" w:styleId="Bullet0">
    <w:name w:val="Bullet 0"/>
    <w:basedOn w:val="Normal"/>
    <w:pPr>
      <w:numPr>
        <w:numId w:val="18"/>
      </w:numPr>
    </w:pPr>
  </w:style>
  <w:style w:type="paragraph" w:customStyle="1" w:styleId="Bullet1">
    <w:name w:val="Bullet 1"/>
    <w:basedOn w:val="Normal"/>
    <w:pPr>
      <w:numPr>
        <w:numId w:val="19"/>
      </w:numPr>
    </w:pPr>
  </w:style>
  <w:style w:type="paragraph" w:customStyle="1" w:styleId="Bullet2">
    <w:name w:val="Bullet 2"/>
    <w:basedOn w:val="Normal"/>
    <w:pPr>
      <w:numPr>
        <w:numId w:val="20"/>
      </w:numPr>
    </w:pPr>
  </w:style>
  <w:style w:type="paragraph" w:customStyle="1" w:styleId="Bullet3">
    <w:name w:val="Bullet 3"/>
    <w:basedOn w:val="Normal"/>
    <w:pPr>
      <w:numPr>
        <w:numId w:val="21"/>
      </w:numPr>
    </w:pPr>
  </w:style>
  <w:style w:type="paragraph" w:customStyle="1" w:styleId="Bullet4">
    <w:name w:val="Bullet 4"/>
    <w:basedOn w:val="Normal"/>
    <w:pPr>
      <w:numPr>
        <w:numId w:val="22"/>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23"/>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16"/>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16"/>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16"/>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16"/>
      </w:numPr>
      <w:outlineLvl w:val="3"/>
    </w:pPr>
    <w:rPr>
      <w:rFonts w:eastAsiaTheme="majorEastAsia"/>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2"/>
      </w:numPr>
      <w:contextualSpacing/>
    </w:pPr>
  </w:style>
  <w:style w:type="paragraph" w:styleId="ListBullet2">
    <w:name w:val="List Bullet 2"/>
    <w:basedOn w:val="Normal"/>
    <w:uiPriority w:val="99"/>
    <w:semiHidden/>
    <w:unhideWhenUsed/>
    <w:pPr>
      <w:numPr>
        <w:numId w:val="3"/>
      </w:numPr>
      <w:contextualSpacing/>
    </w:pPr>
  </w:style>
  <w:style w:type="paragraph" w:styleId="ListBullet3">
    <w:name w:val="List Bullet 3"/>
    <w:basedOn w:val="Normal"/>
    <w:uiPriority w:val="99"/>
    <w:semiHidden/>
    <w:unhideWhenUsed/>
    <w:pPr>
      <w:numPr>
        <w:numId w:val="4"/>
      </w:numPr>
      <w:contextualSpacing/>
    </w:pPr>
  </w:style>
  <w:style w:type="paragraph" w:styleId="ListBullet4">
    <w:name w:val="List Bullet 4"/>
    <w:basedOn w:val="Normal"/>
    <w:uiPriority w:val="99"/>
    <w:semiHidden/>
    <w:unhideWhenUsed/>
    <w:pPr>
      <w:numPr>
        <w:numId w:val="5"/>
      </w:numPr>
      <w:contextualSpacing/>
    </w:pPr>
  </w:style>
  <w:style w:type="paragraph" w:styleId="ListNumber">
    <w:name w:val="List Number"/>
    <w:basedOn w:val="Normal"/>
    <w:uiPriority w:val="99"/>
    <w:semiHidden/>
    <w:unhideWhenUsed/>
    <w:pPr>
      <w:numPr>
        <w:numId w:val="6"/>
      </w:numPr>
      <w:contextualSpacing/>
    </w:pPr>
  </w:style>
  <w:style w:type="paragraph" w:styleId="ListNumber2">
    <w:name w:val="List Number 2"/>
    <w:basedOn w:val="Normal"/>
    <w:uiPriority w:val="99"/>
    <w:semiHidden/>
    <w:unhideWhenUsed/>
    <w:pPr>
      <w:numPr>
        <w:numId w:val="7"/>
      </w:numPr>
      <w:contextualSpacing/>
    </w:pPr>
  </w:style>
  <w:style w:type="paragraph" w:styleId="ListNumber3">
    <w:name w:val="List Number 3"/>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10"/>
      </w:numPr>
    </w:pPr>
  </w:style>
  <w:style w:type="paragraph" w:customStyle="1" w:styleId="Tiret1">
    <w:name w:val="Tiret 1"/>
    <w:basedOn w:val="Point1"/>
    <w:pPr>
      <w:numPr>
        <w:numId w:val="11"/>
      </w:numPr>
    </w:pPr>
  </w:style>
  <w:style w:type="paragraph" w:customStyle="1" w:styleId="Tiret2">
    <w:name w:val="Tiret 2"/>
    <w:basedOn w:val="Point2"/>
    <w:pPr>
      <w:numPr>
        <w:numId w:val="12"/>
      </w:numPr>
    </w:pPr>
  </w:style>
  <w:style w:type="paragraph" w:customStyle="1" w:styleId="Tiret3">
    <w:name w:val="Tiret 3"/>
    <w:basedOn w:val="Point3"/>
    <w:pPr>
      <w:numPr>
        <w:numId w:val="13"/>
      </w:numPr>
    </w:pPr>
  </w:style>
  <w:style w:type="paragraph" w:customStyle="1" w:styleId="Tiret4">
    <w:name w:val="Tiret 4"/>
    <w:basedOn w:val="Point4"/>
    <w:pPr>
      <w:numPr>
        <w:numId w:val="14"/>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5"/>
      </w:numPr>
    </w:pPr>
  </w:style>
  <w:style w:type="paragraph" w:customStyle="1" w:styleId="NumPar2">
    <w:name w:val="NumPar 2"/>
    <w:basedOn w:val="Normal"/>
    <w:next w:val="Text1"/>
    <w:pPr>
      <w:numPr>
        <w:ilvl w:val="1"/>
        <w:numId w:val="15"/>
      </w:numPr>
    </w:pPr>
  </w:style>
  <w:style w:type="paragraph" w:customStyle="1" w:styleId="NumPar3">
    <w:name w:val="NumPar 3"/>
    <w:basedOn w:val="Normal"/>
    <w:next w:val="Text1"/>
    <w:pPr>
      <w:numPr>
        <w:ilvl w:val="2"/>
        <w:numId w:val="15"/>
      </w:numPr>
    </w:pPr>
  </w:style>
  <w:style w:type="paragraph" w:customStyle="1" w:styleId="NumPar4">
    <w:name w:val="NumPar 4"/>
    <w:basedOn w:val="Normal"/>
    <w:next w:val="Text1"/>
    <w:pPr>
      <w:numPr>
        <w:ilvl w:val="3"/>
        <w:numId w:val="15"/>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17"/>
      </w:numPr>
    </w:pPr>
  </w:style>
  <w:style w:type="paragraph" w:customStyle="1" w:styleId="Point1number">
    <w:name w:val="Point 1 (number)"/>
    <w:basedOn w:val="Normal"/>
    <w:pPr>
      <w:numPr>
        <w:ilvl w:val="2"/>
        <w:numId w:val="17"/>
      </w:numPr>
    </w:pPr>
  </w:style>
  <w:style w:type="paragraph" w:customStyle="1" w:styleId="Point2number">
    <w:name w:val="Point 2 (number)"/>
    <w:basedOn w:val="Normal"/>
    <w:pPr>
      <w:numPr>
        <w:ilvl w:val="4"/>
        <w:numId w:val="17"/>
      </w:numPr>
    </w:pPr>
  </w:style>
  <w:style w:type="paragraph" w:customStyle="1" w:styleId="Point3number">
    <w:name w:val="Point 3 (number)"/>
    <w:basedOn w:val="Normal"/>
    <w:pPr>
      <w:numPr>
        <w:ilvl w:val="6"/>
        <w:numId w:val="17"/>
      </w:numPr>
    </w:pPr>
  </w:style>
  <w:style w:type="paragraph" w:customStyle="1" w:styleId="Point0letter">
    <w:name w:val="Point 0 (letter)"/>
    <w:basedOn w:val="Normal"/>
    <w:pPr>
      <w:numPr>
        <w:ilvl w:val="1"/>
        <w:numId w:val="17"/>
      </w:numPr>
    </w:pPr>
  </w:style>
  <w:style w:type="paragraph" w:customStyle="1" w:styleId="Point1letter">
    <w:name w:val="Point 1 (letter)"/>
    <w:basedOn w:val="Normal"/>
    <w:pPr>
      <w:numPr>
        <w:ilvl w:val="3"/>
        <w:numId w:val="17"/>
      </w:numPr>
    </w:pPr>
  </w:style>
  <w:style w:type="paragraph" w:customStyle="1" w:styleId="Point2letter">
    <w:name w:val="Point 2 (letter)"/>
    <w:basedOn w:val="Normal"/>
    <w:pPr>
      <w:numPr>
        <w:ilvl w:val="5"/>
        <w:numId w:val="17"/>
      </w:numPr>
    </w:pPr>
  </w:style>
  <w:style w:type="paragraph" w:customStyle="1" w:styleId="Point3letter">
    <w:name w:val="Point 3 (letter)"/>
    <w:basedOn w:val="Normal"/>
    <w:pPr>
      <w:numPr>
        <w:ilvl w:val="7"/>
        <w:numId w:val="17"/>
      </w:numPr>
    </w:pPr>
  </w:style>
  <w:style w:type="paragraph" w:customStyle="1" w:styleId="Point4letter">
    <w:name w:val="Point 4 (letter)"/>
    <w:basedOn w:val="Normal"/>
    <w:pPr>
      <w:numPr>
        <w:ilvl w:val="8"/>
        <w:numId w:val="17"/>
      </w:numPr>
    </w:pPr>
  </w:style>
  <w:style w:type="paragraph" w:customStyle="1" w:styleId="Bullet0">
    <w:name w:val="Bullet 0"/>
    <w:basedOn w:val="Normal"/>
    <w:pPr>
      <w:numPr>
        <w:numId w:val="18"/>
      </w:numPr>
    </w:pPr>
  </w:style>
  <w:style w:type="paragraph" w:customStyle="1" w:styleId="Bullet1">
    <w:name w:val="Bullet 1"/>
    <w:basedOn w:val="Normal"/>
    <w:pPr>
      <w:numPr>
        <w:numId w:val="19"/>
      </w:numPr>
    </w:pPr>
  </w:style>
  <w:style w:type="paragraph" w:customStyle="1" w:styleId="Bullet2">
    <w:name w:val="Bullet 2"/>
    <w:basedOn w:val="Normal"/>
    <w:pPr>
      <w:numPr>
        <w:numId w:val="20"/>
      </w:numPr>
    </w:pPr>
  </w:style>
  <w:style w:type="paragraph" w:customStyle="1" w:styleId="Bullet3">
    <w:name w:val="Bullet 3"/>
    <w:basedOn w:val="Normal"/>
    <w:pPr>
      <w:numPr>
        <w:numId w:val="21"/>
      </w:numPr>
    </w:pPr>
  </w:style>
  <w:style w:type="paragraph" w:customStyle="1" w:styleId="Bullet4">
    <w:name w:val="Bullet 4"/>
    <w:basedOn w:val="Normal"/>
    <w:pPr>
      <w:numPr>
        <w:numId w:val="22"/>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23"/>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B22EA-6A11-4D76-AB46-D338A80D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1</TotalTime>
  <Pages>1</Pages>
  <Words>1043</Words>
  <Characters>5743</Characters>
  <Application>Microsoft Office Word</Application>
  <DocSecurity>0</DocSecurity>
  <Lines>110</Lines>
  <Paragraphs>48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KARSKA-VANDIEST Hanna (SG)</dc:creator>
  <cp:lastModifiedBy>KARSKA-VANDIEST Hanna (SG)</cp:lastModifiedBy>
  <cp:revision>3</cp:revision>
  <cp:lastPrinted>2015-07-01T14:59:00Z</cp:lastPrinted>
  <dcterms:created xsi:type="dcterms:W3CDTF">2015-07-23T08:22:00Z</dcterms:created>
  <dcterms:modified xsi:type="dcterms:W3CDTF">2015-07-23T08:22:00Z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Classification">
    <vt:lpwstr> </vt:lpwstr>
  </property>
  <property fmtid="{D5CDD505-2E9C-101B-9397-08002B2CF9AE}" pid="4" name="Version">
    <vt:lpwstr>5.8.86.0</vt:lpwstr>
  </property>
  <property fmtid="{D5CDD505-2E9C-101B-9397-08002B2CF9AE}" pid="5" name="Last edited using">
    <vt:lpwstr>LW 5.8.4, Build 20150407</vt:lpwstr>
  </property>
  <property fmtid="{D5CDD505-2E9C-101B-9397-08002B2CF9AE}" pid="6" name="Created using">
    <vt:lpwstr>LW 5.8.4, Build 20141001</vt:lpwstr>
  </property>
  <property fmtid="{D5CDD505-2E9C-101B-9397-08002B2CF9AE}" pid="7" name="Part">
    <vt:lpwstr>1</vt:lpwstr>
  </property>
  <property fmtid="{D5CDD505-2E9C-101B-9397-08002B2CF9AE}" pid="8" name="Total parts">
    <vt:lpwstr>1</vt:lpwstr>
  </property>
  <property fmtid="{D5CDD505-2E9C-101B-9397-08002B2CF9AE}" pid="9" name="LWTemplateID">
    <vt:lpwstr>SJ-031</vt:lpwstr>
  </property>
  <property fmtid="{D5CDD505-2E9C-101B-9397-08002B2CF9AE}" pid="10" name="DQCStatus">
    <vt:lpwstr>Yellow (DQC version 03)</vt:lpwstr>
  </property>
</Properties>
</file>